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F" w:rsidRDefault="00E82F6F" w:rsidP="00E82F6F">
      <w:pPr>
        <w:pStyle w:val="a3"/>
      </w:pPr>
      <w:r>
        <w:rPr>
          <w:rStyle w:val="a4"/>
        </w:rPr>
        <w:t xml:space="preserve">Федеральный закон № 83-ФЗ, за исключением отдельных его положений, вступает в силу с 1 января 2011. Насколько оправданы опасения, что "авральные" сроки вступления не дают возможности учреждениям подготовиться к его реализации? </w:t>
      </w:r>
    </w:p>
    <w:p w:rsidR="00E82F6F" w:rsidRDefault="00E82F6F" w:rsidP="00E82F6F">
      <w:pPr>
        <w:pStyle w:val="a3"/>
      </w:pPr>
      <w:r>
        <w:t xml:space="preserve">- Действительно, </w:t>
      </w:r>
      <w:r>
        <w:rPr>
          <w:rStyle w:val="a4"/>
        </w:rPr>
        <w:t xml:space="preserve">закон № 83-ФЗ </w:t>
      </w:r>
      <w:r>
        <w:t xml:space="preserve">вступит в силу уже с 1 января следующего года. При этом до 1 июля 2012 года установлен переходный период, в который перевод отдельных </w:t>
      </w:r>
      <w:hyperlink r:id="rId4" w:history="1">
        <w:r>
          <w:rPr>
            <w:rStyle w:val="a5"/>
          </w:rPr>
          <w:t>бюджетных учреждений</w:t>
        </w:r>
      </w:hyperlink>
      <w:r>
        <w:t xml:space="preserve"> на субсидии в "</w:t>
      </w:r>
      <w:proofErr w:type="spellStart"/>
      <w:r>
        <w:t>пилотном</w:t>
      </w:r>
      <w:proofErr w:type="spellEnd"/>
      <w:r>
        <w:t>" режиме возможен по решению федерального органа – главного распорядителя бюджетных средств (в отношении федеральных учреждений), закону субъекта РФ, решению муниципального образования.</w:t>
      </w:r>
    </w:p>
    <w:p w:rsidR="00E82F6F" w:rsidRDefault="00E82F6F" w:rsidP="00E82F6F">
      <w:pPr>
        <w:pStyle w:val="a3"/>
      </w:pPr>
      <w:r>
        <w:rPr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428625"/>
            <wp:effectExtent l="19050" t="0" r="0" b="0"/>
            <wp:wrapSquare wrapText="bothSides"/>
            <wp:docPr id="2" name="Рисунок 2" descr="http://menobr.ru/image.ashx?mode=image&amp;maxwidth=400&amp;maxheight=400&amp;id=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nobr.ru/image.ashx?mode=image&amp;maxwidth=400&amp;maxheight=400&amp;id=47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 xml:space="preserve">Противники вводимых изменений говорят о том, что Законом 83-ФЗ предусматривается урезание денежного содержания большинства бюджетных учреждений. Вместо полноценного финансирования из бюджета им придется довольствоваться минимальным финансированием госзаказа. Действительно ли произойдет резкое общее сокращение финансирования большинства образовательных учреждений? </w:t>
      </w:r>
    </w:p>
    <w:p w:rsidR="00E82F6F" w:rsidRDefault="00E82F6F" w:rsidP="00E82F6F">
      <w:pPr>
        <w:pStyle w:val="a3"/>
      </w:pPr>
      <w:r>
        <w:t xml:space="preserve">- Закон устанавливает, что первоначальные нормативы затрат на оказание услуг определяются федеральным органом исполнительной власти в отношении подведомственных ему учреждений исходя из размера бюджетных ассигнований, выделенных бюджетному учреждению в 2010 году. Т.е. при сохранении объема оказанных учреждением услуг, размер </w:t>
      </w:r>
      <w:hyperlink r:id="rId6" w:history="1">
        <w:r>
          <w:rPr>
            <w:rStyle w:val="a5"/>
          </w:rPr>
          <w:t>финансирования образовательного учреждения</w:t>
        </w:r>
      </w:hyperlink>
      <w:r>
        <w:t xml:space="preserve"> из бюджета не уменьшится. Изменится лишь способ доведения средств – не по смете, а через субсидию на </w:t>
      </w:r>
      <w:hyperlink r:id="rId7" w:history="1">
        <w:proofErr w:type="spellStart"/>
        <w:r>
          <w:rPr>
            <w:rStyle w:val="a5"/>
          </w:rPr>
          <w:t>госзадание</w:t>
        </w:r>
        <w:proofErr w:type="spellEnd"/>
      </w:hyperlink>
      <w:r>
        <w:t xml:space="preserve">. Кроме того, в </w:t>
      </w:r>
      <w:r>
        <w:rPr>
          <w:rStyle w:val="a4"/>
        </w:rPr>
        <w:t xml:space="preserve">законе № 83-ФЗ </w:t>
      </w:r>
      <w:r>
        <w:t xml:space="preserve">есть норма - гарантия, согласно которой уменьшение объема субсидии на </w:t>
      </w:r>
      <w:proofErr w:type="spellStart"/>
      <w:r>
        <w:t>госзадание</w:t>
      </w:r>
      <w:proofErr w:type="spellEnd"/>
      <w:r>
        <w:t xml:space="preserve"> в течение срока его выполнения осуществляется только при соответствующем изменении </w:t>
      </w:r>
      <w:proofErr w:type="spellStart"/>
      <w:r>
        <w:t>госзадания</w:t>
      </w:r>
      <w:proofErr w:type="spellEnd"/>
      <w:r>
        <w:t>.</w:t>
      </w:r>
    </w:p>
    <w:p w:rsidR="00E82F6F" w:rsidRDefault="00E82F6F" w:rsidP="00E82F6F">
      <w:pPr>
        <w:pStyle w:val="a3"/>
      </w:pPr>
      <w:r>
        <w:rPr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428625"/>
            <wp:effectExtent l="19050" t="0" r="0" b="0"/>
            <wp:wrapSquare wrapText="bothSides"/>
            <wp:docPr id="3" name="Рисунок 3" descr="http://menobr.ru/image.ashx?mode=image&amp;maxwidth=400&amp;maxheight=400&amp;id=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nobr.ru/image.ashx?mode=image&amp;maxwidth=400&amp;maxheight=400&amp;id=47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 xml:space="preserve">В стандартах есть базовая и вариативная часть. Какая из них будет финансироваться по </w:t>
      </w:r>
      <w:proofErr w:type="spellStart"/>
      <w:r>
        <w:rPr>
          <w:rStyle w:val="a4"/>
        </w:rPr>
        <w:t>госзаданию</w:t>
      </w:r>
      <w:proofErr w:type="spellEnd"/>
      <w:r>
        <w:rPr>
          <w:rStyle w:val="a4"/>
        </w:rPr>
        <w:t xml:space="preserve">? Будет ли финансироваться экспериментальная работа образовательных учреждений? </w:t>
      </w:r>
    </w:p>
    <w:p w:rsidR="00E82F6F" w:rsidRDefault="00E82F6F" w:rsidP="00E82F6F">
      <w:pPr>
        <w:pStyle w:val="a3"/>
      </w:pPr>
      <w:r>
        <w:t xml:space="preserve">- Финансируется весь </w:t>
      </w:r>
      <w:hyperlink r:id="rId8" w:history="1">
        <w:r>
          <w:rPr>
            <w:rStyle w:val="a5"/>
          </w:rPr>
          <w:t>стандарт</w:t>
        </w:r>
      </w:hyperlink>
      <w:r>
        <w:t xml:space="preserve"> - и базовая, и вариативная части. Если учредитель запланировал экспериментальную деятельность, то в </w:t>
      </w:r>
      <w:proofErr w:type="spellStart"/>
      <w:r>
        <w:t>госзадании</w:t>
      </w:r>
      <w:proofErr w:type="spellEnd"/>
      <w:r>
        <w:t xml:space="preserve"> это будет отражено, значит, будут выделены соответствующие средства.</w:t>
      </w:r>
    </w:p>
    <w:p w:rsidR="00E82F6F" w:rsidRDefault="00E82F6F" w:rsidP="00E82F6F">
      <w:pPr>
        <w:pStyle w:val="a3"/>
      </w:pPr>
      <w:r>
        <w:rPr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428625"/>
            <wp:effectExtent l="19050" t="0" r="0" b="0"/>
            <wp:wrapSquare wrapText="bothSides"/>
            <wp:docPr id="4" name="Рисунок 4" descr="http://menobr.ru/image.ashx?mode=image&amp;maxwidth=400&amp;maxheight=400&amp;id=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nobr.ru/image.ashx?mode=image&amp;maxwidth=400&amp;maxheight=400&amp;id=47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 xml:space="preserve">Принятый закон предоставляет бюджетному учреждению значительно больше свободы в распоряжении полученными бюджетными средствами. Как будет контролироваться прохождение этих финансовых средств и эффективность их использования? </w:t>
      </w:r>
    </w:p>
    <w:p w:rsidR="00E82F6F" w:rsidRDefault="00E82F6F" w:rsidP="00E82F6F">
      <w:pPr>
        <w:pStyle w:val="a3"/>
      </w:pPr>
      <w:r>
        <w:t xml:space="preserve">- Действительно, у бюджетного учреждения, например </w:t>
      </w:r>
      <w:hyperlink r:id="rId9" w:history="1">
        <w:r>
          <w:rPr>
            <w:rStyle w:val="a5"/>
          </w:rPr>
          <w:t>школы</w:t>
        </w:r>
      </w:hyperlink>
      <w:r>
        <w:t xml:space="preserve">, </w:t>
      </w:r>
      <w:hyperlink r:id="rId10" w:history="1">
        <w:r>
          <w:rPr>
            <w:rStyle w:val="a5"/>
          </w:rPr>
          <w:t>детского сада</w:t>
        </w:r>
      </w:hyperlink>
      <w:r>
        <w:t xml:space="preserve">, появится больше свободы в расходовании средств. Казначейство и финансовые органы не имеют права решать, на что именно должны быть потрачены эти средства. Но все счета образовательных и иных бюджетных учреждений остаются в </w:t>
      </w:r>
      <w:hyperlink r:id="rId11" w:history="1">
        <w:r>
          <w:rPr>
            <w:rStyle w:val="a5"/>
          </w:rPr>
          <w:t>казначействе</w:t>
        </w:r>
      </w:hyperlink>
      <w:r>
        <w:t>, которое, по-прежнему, будет контролировать прохождение денег. Это дает возможность своевременно уведомить учредителей в лице органов управления образованием об опасностях финансового состояния образовательного учреждения.</w:t>
      </w:r>
    </w:p>
    <w:p w:rsidR="00E82F6F" w:rsidRDefault="00E82F6F" w:rsidP="00E82F6F">
      <w:pPr>
        <w:pStyle w:val="a3"/>
      </w:pPr>
      <w:r>
        <w:t>Я могу привести следующий пример: сейчас школа получает деньги по смете, где расписаны все статьи расходов до последней копейки. Чтобы перераспределить средства, директор должен вернуть деньги в бюджет, получить "добро" от учредителя и по новой строке расходов получить сумму назад.</w:t>
      </w:r>
      <w:r>
        <w:rPr>
          <w:rStyle w:val="a4"/>
        </w:rPr>
        <w:t xml:space="preserve"> Закон № 83-ФЗ</w:t>
      </w:r>
      <w:r>
        <w:t xml:space="preserve"> избавит от этих сложностей. </w:t>
      </w:r>
      <w:r>
        <w:lastRenderedPageBreak/>
        <w:t>Нужны директору позарез парты или учебники - пожалуйста, иди и покупай! Деньги в школу пойдут не по смете, а общей субсидией, и руководитель сам вместе с коллективом будет решать, на что ее потратить. Но решать будет не единолично. Тут очень важно участие общественных органов управления, куда входят попечители, родители.</w:t>
      </w:r>
    </w:p>
    <w:p w:rsidR="00E82F6F" w:rsidRDefault="00E82F6F" w:rsidP="00E82F6F">
      <w:pPr>
        <w:pStyle w:val="a3"/>
      </w:pPr>
      <w:r>
        <w:rPr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428625"/>
            <wp:effectExtent l="19050" t="0" r="0" b="0"/>
            <wp:wrapSquare wrapText="bothSides"/>
            <wp:docPr id="5" name="Рисунок 5" descr="http://menobr.ru/image.ashx?mode=image&amp;maxwidth=400&amp;maxheight=400&amp;id=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nobr.ru/image.ashx?mode=image&amp;maxwidth=400&amp;maxheight=400&amp;id=47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>Кто в новых условиях будет участвовать в управлении школой, и главное, захотят ли этого учителя?</w:t>
      </w:r>
    </w:p>
    <w:p w:rsidR="00E82F6F" w:rsidRDefault="00E82F6F" w:rsidP="00E82F6F">
      <w:pPr>
        <w:pStyle w:val="a3"/>
      </w:pPr>
      <w:r>
        <w:t xml:space="preserve">- Однозначного ответа на вопрос нет. В тех регионах, которые участвовали в комплексных проектах </w:t>
      </w:r>
      <w:hyperlink r:id="rId12" w:history="1">
        <w:r>
          <w:rPr>
            <w:rStyle w:val="a5"/>
          </w:rPr>
          <w:t>модернизации образования</w:t>
        </w:r>
      </w:hyperlink>
      <w:r>
        <w:t xml:space="preserve">, одним из важных показателей было внедрение государственно-общественного управления. Когда родители, представители крупных градообразующих предприятий, общественные организации подключаются к принятию каких-то решений в школе, они четко знают, куда потрачены деньги. Главное в </w:t>
      </w:r>
      <w:r>
        <w:rPr>
          <w:rStyle w:val="a4"/>
        </w:rPr>
        <w:t>законе № 83-ФЗ</w:t>
      </w:r>
      <w:r>
        <w:t xml:space="preserve"> - связь эффективности расходования сре</w:t>
      </w:r>
      <w:proofErr w:type="gramStart"/>
      <w:r>
        <w:t>дств с р</w:t>
      </w:r>
      <w:proofErr w:type="gramEnd"/>
      <w:r>
        <w:t>езультатом.</w:t>
      </w:r>
    </w:p>
    <w:p w:rsidR="00E82F6F" w:rsidRDefault="00E82F6F" w:rsidP="00E82F6F">
      <w:pPr>
        <w:pStyle w:val="a3"/>
      </w:pPr>
      <w:r>
        <w:rPr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428625"/>
            <wp:effectExtent l="19050" t="0" r="0" b="0"/>
            <wp:wrapSquare wrapText="bothSides"/>
            <wp:docPr id="6" name="Рисунок 6" descr="http://menobr.ru/image.ashx?mode=image&amp;maxwidth=400&amp;maxheight=400&amp;id=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nobr.ru/image.ashx?mode=image&amp;maxwidth=400&amp;maxheight=400&amp;id=47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>Действительно ли теперь любой сможет узнать, сколько получает руководитель автономного образовательного учреждения?</w:t>
      </w:r>
    </w:p>
    <w:p w:rsidR="00E82F6F" w:rsidRDefault="00E82F6F" w:rsidP="00E82F6F">
      <w:pPr>
        <w:pStyle w:val="a3"/>
      </w:pPr>
      <w:r>
        <w:t xml:space="preserve">- По новому закону руководители бюджетных и </w:t>
      </w:r>
      <w:hyperlink r:id="rId13" w:history="1">
        <w:r>
          <w:rPr>
            <w:rStyle w:val="a5"/>
          </w:rPr>
          <w:t>автономных учреждений</w:t>
        </w:r>
      </w:hyperlink>
      <w:r>
        <w:t xml:space="preserve"> обязаны размещать информацию по финансово-хозяйственной деятельности в Интернете. В законе конкретизировано, что к открытой информации </w:t>
      </w:r>
      <w:proofErr w:type="gramStart"/>
      <w:r>
        <w:t>относится</w:t>
      </w:r>
      <w:proofErr w:type="gramEnd"/>
      <w:r>
        <w:t xml:space="preserve"> в том числе заработная плата руководителя и средняя </w:t>
      </w:r>
      <w:hyperlink r:id="rId14" w:history="1">
        <w:r>
          <w:rPr>
            <w:rStyle w:val="a5"/>
          </w:rPr>
          <w:t>зарплата работников</w:t>
        </w:r>
      </w:hyperlink>
      <w:r>
        <w:t>.</w:t>
      </w:r>
    </w:p>
    <w:p w:rsidR="00E82F6F" w:rsidRDefault="00E82F6F" w:rsidP="00E82F6F">
      <w:pPr>
        <w:pStyle w:val="a3"/>
      </w:pPr>
      <w:r>
        <w:rPr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428625"/>
            <wp:effectExtent l="19050" t="0" r="0" b="0"/>
            <wp:wrapSquare wrapText="bothSides"/>
            <wp:docPr id="7" name="Рисунок 7" descr="http://menobr.ru/image.ashx?mode=image&amp;maxwidth=400&amp;maxheight=400&amp;id=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nobr.ru/image.ashx?mode=image&amp;maxwidth=400&amp;maxheight=400&amp;id=47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 xml:space="preserve">Возникает вопрос, кто будет контролировать правильность размещенных данных в Интернете? Существует ли возможность у руководителя скрыть информацию? </w:t>
      </w:r>
    </w:p>
    <w:p w:rsidR="00E82F6F" w:rsidRDefault="00E82F6F" w:rsidP="00E82F6F">
      <w:pPr>
        <w:pStyle w:val="a3"/>
      </w:pPr>
      <w:r>
        <w:t xml:space="preserve">- Существует общественный контроль, который проявляется уже на стадии распоряжения </w:t>
      </w:r>
      <w:hyperlink r:id="rId15" w:history="1">
        <w:r>
          <w:rPr>
            <w:rStyle w:val="a5"/>
          </w:rPr>
          <w:t>субсидией</w:t>
        </w:r>
      </w:hyperlink>
      <w:r>
        <w:t xml:space="preserve">. </w:t>
      </w:r>
      <w:proofErr w:type="gramStart"/>
      <w:r>
        <w:t>Родители, вошедшие в попечительский совет и принимают</w:t>
      </w:r>
      <w:proofErr w:type="gramEnd"/>
      <w:r>
        <w:t xml:space="preserve"> решение о том, как израсходовать деньги и не позволят директору открыть при школе ночной клуб. Очень важно, чтобы </w:t>
      </w:r>
      <w:hyperlink r:id="rId16" w:history="1">
        <w:r>
          <w:rPr>
            <w:rStyle w:val="a5"/>
          </w:rPr>
          <w:t>контроль</w:t>
        </w:r>
      </w:hyperlink>
      <w:r>
        <w:t xml:space="preserve"> начинался именно тогда, когда принимается решение о том, куда потратить средства.</w:t>
      </w:r>
    </w:p>
    <w:p w:rsidR="00E82F6F" w:rsidRDefault="00E82F6F" w:rsidP="00E82F6F">
      <w:pPr>
        <w:pStyle w:val="a3"/>
      </w:pPr>
      <w:r>
        <w:rPr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428625"/>
            <wp:effectExtent l="19050" t="0" r="0" b="0"/>
            <wp:wrapSquare wrapText="bothSides"/>
            <wp:docPr id="8" name="Рисунок 8" descr="http://menobr.ru/image.ashx?mode=image&amp;maxwidth=400&amp;maxheight=400&amp;id=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nobr.ru/image.ashx?mode=image&amp;maxwidth=400&amp;maxheight=400&amp;id=47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 xml:space="preserve">При реализации закона у директоров появляется возможность поощрять лучших учителей. Но есть опасность субъективного фактора, желание поощрить "своих" учителей и обделять тех, кто с ним не согласен. </w:t>
      </w:r>
    </w:p>
    <w:p w:rsidR="00E82F6F" w:rsidRDefault="00E82F6F" w:rsidP="00E82F6F">
      <w:pPr>
        <w:pStyle w:val="a3"/>
      </w:pPr>
      <w:r>
        <w:t xml:space="preserve">- В рамках </w:t>
      </w:r>
      <w:hyperlink r:id="rId17" w:history="1">
        <w:r>
          <w:rPr>
            <w:rStyle w:val="a5"/>
          </w:rPr>
          <w:t>новой системы оплаты труда</w:t>
        </w:r>
      </w:hyperlink>
      <w:r>
        <w:t xml:space="preserve">, которую мы апробировали в </w:t>
      </w:r>
      <w:proofErr w:type="spellStart"/>
      <w:r>
        <w:t>пилотных</w:t>
      </w:r>
      <w:proofErr w:type="spellEnd"/>
      <w:r>
        <w:t xml:space="preserve"> регионах, уже выработана четкая система критериев поощрения учителей за качественный труд. Эти критерии рассматриваются общественным советом, они абсолютно прозрачны и понятны. Поэтому все стимулирующие выплаты строго обоснованы. Директор не вправе единолично решить этот вопрос. Я не отрицаю, что есть проблема человеческого фактора. </w:t>
      </w:r>
      <w:proofErr w:type="gramStart"/>
      <w:r>
        <w:t>Гораздо большая</w:t>
      </w:r>
      <w:proofErr w:type="gramEnd"/>
      <w:r>
        <w:t xml:space="preserve"> проблема - </w:t>
      </w:r>
      <w:hyperlink r:id="rId18" w:history="1">
        <w:r>
          <w:rPr>
            <w:rStyle w:val="a5"/>
          </w:rPr>
          <w:t>квалифицированные и грамотные в финансовом плане руководители</w:t>
        </w:r>
      </w:hyperlink>
      <w:r>
        <w:t>. Человек, получивший педагогическое образование, как правило, таких навыков не имеет. И стоит серьезная задача обучить управленческие кадры менеджменту, научить их формировать бюджет учреждения.</w:t>
      </w:r>
    </w:p>
    <w:p w:rsidR="00E82F6F" w:rsidRDefault="00E82F6F" w:rsidP="00E82F6F">
      <w:pPr>
        <w:pStyle w:val="a3"/>
      </w:pPr>
      <w:r>
        <w:rPr>
          <w:rStyle w:val="a6"/>
          <w:b/>
          <w:bCs/>
        </w:rPr>
        <w:t>Полную версию интервью читайте в журнале "Нормативные документы образовательного учреждения" №9 2010 года.</w:t>
      </w:r>
    </w:p>
    <w:p w:rsidR="00E82F6F" w:rsidRDefault="00E82F6F" w:rsidP="00E82F6F">
      <w:pPr>
        <w:pStyle w:val="leftcontentdate"/>
      </w:pPr>
      <w:r>
        <w:t>Дата размещения: 05.08.2010</w:t>
      </w:r>
    </w:p>
    <w:p w:rsidR="00E82F6F" w:rsidRDefault="00E82F6F" w:rsidP="00E82F6F">
      <w:pPr>
        <w:pStyle w:val="leftcontentdate"/>
      </w:pPr>
      <w:r>
        <w:lastRenderedPageBreak/>
        <w:t xml:space="preserve">Источник: </w:t>
      </w:r>
      <w:hyperlink r:id="rId19" w:tgtFrame="_blank" w:history="1">
        <w:r>
          <w:rPr>
            <w:rStyle w:val="a5"/>
          </w:rPr>
          <w:t xml:space="preserve">Журнал "Нормативные документы образовательного учреждения", №9 2010 год </w:t>
        </w:r>
      </w:hyperlink>
    </w:p>
    <w:p w:rsidR="00BE7447" w:rsidRDefault="00BE7447"/>
    <w:sectPr w:rsidR="00BE7447" w:rsidSect="00BE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6F"/>
    <w:rsid w:val="00BE7447"/>
    <w:rsid w:val="00E8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F6F"/>
    <w:rPr>
      <w:b/>
      <w:bCs/>
    </w:rPr>
  </w:style>
  <w:style w:type="character" w:styleId="a5">
    <w:name w:val="Hyperlink"/>
    <w:basedOn w:val="a0"/>
    <w:uiPriority w:val="99"/>
    <w:semiHidden/>
    <w:unhideWhenUsed/>
    <w:rsid w:val="00E82F6F"/>
    <w:rPr>
      <w:color w:val="0000FF"/>
      <w:u w:val="single"/>
    </w:rPr>
  </w:style>
  <w:style w:type="character" w:styleId="a6">
    <w:name w:val="Emphasis"/>
    <w:basedOn w:val="a0"/>
    <w:uiPriority w:val="20"/>
    <w:qFormat/>
    <w:rsid w:val="00E82F6F"/>
    <w:rPr>
      <w:i/>
      <w:iCs/>
    </w:rPr>
  </w:style>
  <w:style w:type="paragraph" w:customStyle="1" w:styleId="leftcontentdate">
    <w:name w:val="leftcontentdate"/>
    <w:basedOn w:val="a"/>
    <w:rsid w:val="00E8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obr.ru/search/default.aspx?search=%ee%e1%f0%e0%e7%ee%e2%e0%f2%e5%eb%fc%ed%fb%e9%20%f1%f2%e0%ed%e4%e0%f0%f2" TargetMode="External"/><Relationship Id="rId13" Type="http://schemas.openxmlformats.org/officeDocument/2006/relationships/hyperlink" Target="http://menobr.ru/search/default.aspx?search=%e0%e2%f2%ee%ed%ee%ec%ed%ee%e5%20%f3%f7%f0%e5%e6%e4%e5%ed%e8%e5" TargetMode="External"/><Relationship Id="rId18" Type="http://schemas.openxmlformats.org/officeDocument/2006/relationships/hyperlink" Target="http://menobr.ru/search/default.aspx?search=%ef%ee%e2%fb%f8%e5%ed%e8%e5%20%ea%e2%e0%eb%e8%f4%e8%ea%e0%f6%e8%e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enobr.ru/search/default.aspx?search=%e3%ee%f1%e7%e0%e4%e0%ed%e8%e5" TargetMode="External"/><Relationship Id="rId12" Type="http://schemas.openxmlformats.org/officeDocument/2006/relationships/hyperlink" Target="http://menobr.ru/search/default.aspx?search=%ec%ee%e4%e5%f0%ed%e8%e7%e0%f6%e8%ff%20%ee%e1%f0%e0%e7%ee%e2%e0%ed%e8%ff" TargetMode="External"/><Relationship Id="rId17" Type="http://schemas.openxmlformats.org/officeDocument/2006/relationships/hyperlink" Target="http://menobr.ru/search/default.aspx?search=%ed%ee%e2%e0%ff%20%f1%e8%f1%f2%e5%ec%e0%20%ee%ef%eb%e0%f2%fb%20%f2%f0%f3%e4%e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nobr.ru/material/default.aspx?catalogid=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nobr.ru/search/default.aspx?search=%f4%e8%ed%e0%ed%f1%e8%f0%ee%e2%e0%ed%e8%e5%20%ee%e1%f0%e0%e7%ee%e2%e0%f2%e5%eb%fc%ed%ee%e3%ee%20%f3%f7%f0%e5%e6%e4%e5%ed%e8%ff" TargetMode="External"/><Relationship Id="rId11" Type="http://schemas.openxmlformats.org/officeDocument/2006/relationships/hyperlink" Target="http://menobr.ru/search/default.aspx?search=%ea%e0%e7%ed%e0%f7%e5%e9%f1%f2%e2%e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enobr.ru/search/default.aspx?search=%f1%f3%e1%f1%e8%e4%e8%ff" TargetMode="External"/><Relationship Id="rId10" Type="http://schemas.openxmlformats.org/officeDocument/2006/relationships/hyperlink" Target="http://menobr.ru/search/default.aspx?search=%e4%e5%f2%f1%ea%e8%e9%20%f1%e0%e4" TargetMode="External"/><Relationship Id="rId19" Type="http://schemas.openxmlformats.org/officeDocument/2006/relationships/hyperlink" Target="http://menobr.ru/resource/default.aspx?control=24&amp;id=5617&amp;catalogid=1055" TargetMode="External"/><Relationship Id="rId4" Type="http://schemas.openxmlformats.org/officeDocument/2006/relationships/hyperlink" Target="http://menobr.ru/search/default.aspx?search=%e1%fe%e4%e6%e5%f2%ed%fb%e5%20%f3%f7%f0%e5%e6%e4%e5%ed%e8%ff" TargetMode="External"/><Relationship Id="rId9" Type="http://schemas.openxmlformats.org/officeDocument/2006/relationships/hyperlink" Target="http://menobr.ru/search/default.aspx?search=%f8%ea%ee%eb%e0" TargetMode="External"/><Relationship Id="rId14" Type="http://schemas.openxmlformats.org/officeDocument/2006/relationships/hyperlink" Target="http://menobr.ru/material/default.aspx?catalog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o-s-n</dc:creator>
  <cp:keywords/>
  <dc:description/>
  <cp:lastModifiedBy>o-s-n</cp:lastModifiedBy>
  <cp:revision>3</cp:revision>
  <dcterms:created xsi:type="dcterms:W3CDTF">2011-06-09T11:16:00Z</dcterms:created>
  <dcterms:modified xsi:type="dcterms:W3CDTF">2011-06-09T11:16:00Z</dcterms:modified>
</cp:coreProperties>
</file>